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E2" w:rsidRPr="006553E2" w:rsidRDefault="006553E2" w:rsidP="006553E2">
      <w:pPr>
        <w:pStyle w:val="tandard"/>
        <w:suppressLineNumbers/>
        <w:jc w:val="center"/>
        <w:rPr>
          <w:b/>
          <w:sz w:val="28"/>
          <w:szCs w:val="28"/>
          <w:lang w:val="sk-SK"/>
        </w:rPr>
      </w:pPr>
      <w:r w:rsidRPr="006553E2">
        <w:rPr>
          <w:b/>
          <w:sz w:val="28"/>
          <w:szCs w:val="28"/>
          <w:lang w:val="sk-SK"/>
        </w:rPr>
        <w:t>INFORMÁCIA O POVINN</w:t>
      </w:r>
      <w:bookmarkStart w:id="0" w:name="_GoBack"/>
      <w:bookmarkEnd w:id="0"/>
      <w:r w:rsidRPr="006553E2">
        <w:rPr>
          <w:b/>
          <w:sz w:val="28"/>
          <w:szCs w:val="28"/>
          <w:lang w:val="sk-SK"/>
        </w:rPr>
        <w:t>OSTIACH ČLENOV PREDSTAVENSTVA A KONTROLNEJ KOMISIE SBD ZVOLEN</w:t>
      </w:r>
    </w:p>
    <w:p w:rsidR="006553E2" w:rsidRDefault="006553E2" w:rsidP="006553E2">
      <w:pPr>
        <w:pStyle w:val="tandard"/>
        <w:suppressLineNumbers/>
        <w:jc w:val="both"/>
        <w:rPr>
          <w:b/>
          <w:szCs w:val="24"/>
          <w:lang w:val="sk-SK"/>
        </w:rPr>
      </w:pPr>
    </w:p>
    <w:p w:rsidR="006553E2" w:rsidRDefault="006553E2" w:rsidP="006553E2">
      <w:pPr>
        <w:pStyle w:val="tandard"/>
        <w:suppressLineNumbers/>
        <w:jc w:val="both"/>
        <w:rPr>
          <w:b/>
          <w:szCs w:val="24"/>
          <w:lang w:val="sk-SK"/>
        </w:rPr>
      </w:pPr>
      <w:r w:rsidRPr="00597708">
        <w:rPr>
          <w:b/>
          <w:szCs w:val="24"/>
          <w:lang w:val="sk-SK"/>
        </w:rPr>
        <w:t>Predstavenstvo</w:t>
      </w:r>
      <w:r>
        <w:rPr>
          <w:b/>
          <w:szCs w:val="24"/>
          <w:lang w:val="sk-SK"/>
        </w:rPr>
        <w:t xml:space="preserve"> - čl. 71 Stanov SBD Zvolen</w:t>
      </w:r>
      <w:r>
        <w:rPr>
          <w:b/>
          <w:szCs w:val="24"/>
          <w:lang w:val="sk-SK"/>
        </w:rPr>
        <w:tab/>
      </w:r>
    </w:p>
    <w:p w:rsidR="006553E2" w:rsidRDefault="006553E2" w:rsidP="006553E2">
      <w:pPr>
        <w:pStyle w:val="tandard"/>
        <w:numPr>
          <w:ilvl w:val="0"/>
          <w:numId w:val="1"/>
        </w:numPr>
        <w:suppressLineNumbers/>
        <w:ind w:left="426" w:hanging="426"/>
        <w:jc w:val="both"/>
        <w:rPr>
          <w:sz w:val="22"/>
          <w:szCs w:val="22"/>
          <w:lang w:val="sk-SK"/>
        </w:rPr>
      </w:pPr>
      <w:r w:rsidRPr="00EA5511">
        <w:rPr>
          <w:sz w:val="22"/>
          <w:szCs w:val="22"/>
          <w:lang w:val="sk-SK"/>
        </w:rPr>
        <w:t>Členovia predstavenstva sú povinní vykonávať svoju funkciu s odbornou starostlivosťou a v súlade so záujmami družstva a všetkých jej členov. Najmä sú povinní zaobstarať si a pri rozhodovaní zohľadniť všetky dostupné informácie týkajúce sa predmetu rozhodnutia, zachovávať mlčanlivosť o dôverných informáciách a skutočnostiach, ktorých prezradenie tretím osobám by mohlo družstvu spôsobiť škodu alebo ohroziť jeho záujmy alebo záujmy jeho členov, pri výkone svojej pôsobnosti nesmú uprednostňovať svoje záujmy, záujmy len niektorých členov alebo záujmy tretích osôb pred záujmom družstva.</w:t>
      </w:r>
    </w:p>
    <w:p w:rsidR="006553E2" w:rsidRPr="00EA5511" w:rsidRDefault="006553E2" w:rsidP="006553E2">
      <w:pPr>
        <w:pStyle w:val="tandard"/>
        <w:suppressLineNumbers/>
        <w:ind w:left="426"/>
        <w:jc w:val="both"/>
        <w:rPr>
          <w:sz w:val="22"/>
          <w:szCs w:val="22"/>
          <w:lang w:val="sk-SK"/>
        </w:rPr>
      </w:pPr>
    </w:p>
    <w:p w:rsidR="006553E2" w:rsidRDefault="006553E2" w:rsidP="006553E2">
      <w:pPr>
        <w:pStyle w:val="tandard"/>
        <w:numPr>
          <w:ilvl w:val="0"/>
          <w:numId w:val="1"/>
        </w:numPr>
        <w:suppressLineNumbers/>
        <w:ind w:left="426" w:hanging="426"/>
        <w:jc w:val="both"/>
        <w:rPr>
          <w:sz w:val="22"/>
          <w:szCs w:val="22"/>
          <w:lang w:val="sk-SK"/>
        </w:rPr>
      </w:pPr>
      <w:r w:rsidRPr="00EA5511">
        <w:rPr>
          <w:sz w:val="22"/>
          <w:szCs w:val="22"/>
          <w:lang w:val="sk-SK"/>
        </w:rPr>
        <w:t>Členovia predstavenstva, ktorí porušili svoje povinnosti pri výkone svojej funkcie, sú zodpovední spoločne a nerozdielne za škodu, ktorú tým družstvu spôsobili. Člen predstavenstva nezodpovedá za škodu, ak preukáže, že pri výkone svojej funkcie postupoval s odbornou starostlivosťou a v dobrej viere, že koná v záujme družstva a všetkých jeho členov. Členovia predstavenstva nezodpovedajú za škodu spôsobenú družstvu konaním, ktorým vykonávali uznesenie zhromaždenia delegátov. To neplatí, ak je uznesenie zhromaždenia delegátov v rozpore s právnymi predpismi alebo so stanovami družstva. Členov predstavenstva nezbavuje zodpovednosť, ak ich konanie kontrolná komisia schválila.</w:t>
      </w:r>
    </w:p>
    <w:p w:rsidR="006553E2" w:rsidRPr="00EA5511" w:rsidRDefault="006553E2" w:rsidP="006553E2">
      <w:pPr>
        <w:pStyle w:val="tandard"/>
        <w:suppressLineNumbers/>
        <w:ind w:left="426"/>
        <w:jc w:val="both"/>
        <w:rPr>
          <w:sz w:val="22"/>
          <w:szCs w:val="22"/>
          <w:lang w:val="sk-SK"/>
        </w:rPr>
      </w:pPr>
    </w:p>
    <w:p w:rsidR="006553E2" w:rsidRDefault="006553E2" w:rsidP="006553E2">
      <w:pPr>
        <w:pStyle w:val="tandard"/>
        <w:numPr>
          <w:ilvl w:val="0"/>
          <w:numId w:val="1"/>
        </w:numPr>
        <w:suppressLineNumbers/>
        <w:ind w:left="426" w:hanging="426"/>
        <w:jc w:val="both"/>
        <w:rPr>
          <w:sz w:val="22"/>
          <w:szCs w:val="22"/>
          <w:lang w:val="sk-SK"/>
        </w:rPr>
      </w:pPr>
      <w:r w:rsidRPr="00EA5511">
        <w:rPr>
          <w:sz w:val="22"/>
          <w:szCs w:val="22"/>
          <w:lang w:val="sk-SK"/>
        </w:rPr>
        <w:t>Dohody medzi družstvom a členom predstavenstva obmedzujúce alebo vylučujúce  zodpovednosť člena predstavenstva sú zakázané. Stanovy družstva nemôžu obmedziť alebo vylúčiť zodpovednosť člena predstavenstva. Družstvo sa môže vzdať nárokov na náhradu škody voči členom predstavenstva alebo uzatvoriť s nimi dohodu o urovnaní najskôr po 3 (troch) rokoch od ich vzniku, a to len ak s tým vysloví súhlas zhromaždenie delegátov.</w:t>
      </w:r>
    </w:p>
    <w:p w:rsidR="006553E2" w:rsidRDefault="006553E2" w:rsidP="006553E2">
      <w:pPr>
        <w:pStyle w:val="Odsekzoznamu"/>
        <w:rPr>
          <w:sz w:val="22"/>
          <w:szCs w:val="22"/>
        </w:rPr>
      </w:pPr>
    </w:p>
    <w:p w:rsidR="006553E2" w:rsidRDefault="006553E2" w:rsidP="006553E2">
      <w:pPr>
        <w:pStyle w:val="tandard"/>
        <w:numPr>
          <w:ilvl w:val="0"/>
          <w:numId w:val="1"/>
        </w:numPr>
        <w:suppressLineNumbers/>
        <w:ind w:left="426" w:hanging="426"/>
        <w:jc w:val="both"/>
        <w:rPr>
          <w:sz w:val="22"/>
          <w:szCs w:val="22"/>
          <w:lang w:val="sk-SK"/>
        </w:rPr>
      </w:pPr>
      <w:r w:rsidRPr="00EA5511">
        <w:rPr>
          <w:sz w:val="22"/>
          <w:szCs w:val="22"/>
          <w:lang w:val="sk-SK"/>
        </w:rPr>
        <w:t>Nároky družstva na náhradu škody voči členom predstavenstva môže uplatniť vo svojom mene a na vlastný účet veriteľ družstva, ak nemôže uspokojiť svoju pohľadávku z majetku družstva. Ustanovenie ods. 4 až 6 tohto článku sa použijú primerane. Nároky veriteľov družstva voči členom predstavenstva nezanikajú, ak sa družstvo vzdá nárokov na náhradu škody alebo s nimi uzatvorí dohodou o urovnaní. Ak je na majetok družstva vyhlásený konkurz, nároky veriteľov družstva voči členom predstavenstva uplatňuje správca konkurznej podstaty.</w:t>
      </w:r>
    </w:p>
    <w:p w:rsidR="006553E2" w:rsidRDefault="006553E2" w:rsidP="006553E2">
      <w:pPr>
        <w:pStyle w:val="Odsekzoznamu"/>
        <w:rPr>
          <w:sz w:val="22"/>
          <w:szCs w:val="22"/>
        </w:rPr>
      </w:pPr>
    </w:p>
    <w:p w:rsidR="006553E2" w:rsidRPr="00EA5511" w:rsidRDefault="006553E2" w:rsidP="006553E2">
      <w:pPr>
        <w:pStyle w:val="tandard"/>
        <w:numPr>
          <w:ilvl w:val="0"/>
          <w:numId w:val="1"/>
        </w:numPr>
        <w:suppressLineNumbers/>
        <w:ind w:left="426" w:hanging="426"/>
        <w:jc w:val="both"/>
        <w:rPr>
          <w:sz w:val="22"/>
          <w:szCs w:val="22"/>
          <w:lang w:val="sk-SK"/>
        </w:rPr>
      </w:pPr>
      <w:r w:rsidRPr="00EA5511">
        <w:rPr>
          <w:sz w:val="22"/>
          <w:szCs w:val="22"/>
          <w:lang w:val="sk-SK"/>
        </w:rPr>
        <w:t>Do výlučnej pôsobnosti predstavenstva patrí určovanie volebných obvodov delegátov, počet delegátov na najbližšie volebné obdobie a podmienky voľby delegátov, pričom platí zásada, že jeden bytový dom má aspoň jedného delegáta.</w:t>
      </w:r>
    </w:p>
    <w:p w:rsidR="006553E2" w:rsidRPr="00EA5511" w:rsidRDefault="006553E2" w:rsidP="006553E2">
      <w:pPr>
        <w:jc w:val="both"/>
        <w:rPr>
          <w:b/>
          <w:i/>
          <w:sz w:val="22"/>
          <w:szCs w:val="22"/>
          <w:u w:val="single"/>
        </w:rPr>
      </w:pPr>
    </w:p>
    <w:p w:rsidR="006553E2" w:rsidRPr="00EA5511" w:rsidRDefault="006553E2" w:rsidP="006553E2">
      <w:pPr>
        <w:pStyle w:val="tandard"/>
        <w:suppressLineNumbers/>
        <w:jc w:val="both"/>
        <w:rPr>
          <w:b/>
          <w:szCs w:val="24"/>
          <w:lang w:val="sk-SK"/>
        </w:rPr>
      </w:pPr>
      <w:r w:rsidRPr="00EA5511">
        <w:rPr>
          <w:b/>
          <w:szCs w:val="24"/>
          <w:lang w:val="sk-SK"/>
        </w:rPr>
        <w:t>Kontrolná komisia</w:t>
      </w:r>
      <w:r>
        <w:rPr>
          <w:b/>
          <w:szCs w:val="24"/>
          <w:lang w:val="sk-SK"/>
        </w:rPr>
        <w:t xml:space="preserve"> - č</w:t>
      </w:r>
      <w:r w:rsidRPr="00EA5511">
        <w:rPr>
          <w:b/>
          <w:szCs w:val="24"/>
          <w:lang w:val="sk-SK"/>
        </w:rPr>
        <w:t>l. 73</w:t>
      </w:r>
      <w:r>
        <w:rPr>
          <w:b/>
          <w:szCs w:val="24"/>
          <w:lang w:val="sk-SK"/>
        </w:rPr>
        <w:t xml:space="preserve"> Stanov SBD Zvolen</w:t>
      </w:r>
    </w:p>
    <w:p w:rsidR="006553E2" w:rsidRDefault="006553E2" w:rsidP="006553E2">
      <w:pPr>
        <w:pStyle w:val="tandard"/>
        <w:numPr>
          <w:ilvl w:val="0"/>
          <w:numId w:val="2"/>
        </w:numPr>
        <w:suppressLineNumbers/>
        <w:ind w:left="426" w:hanging="426"/>
        <w:jc w:val="both"/>
        <w:rPr>
          <w:sz w:val="22"/>
          <w:szCs w:val="22"/>
          <w:lang w:val="sk-SK"/>
        </w:rPr>
      </w:pPr>
      <w:r w:rsidRPr="00EA5511">
        <w:rPr>
          <w:sz w:val="22"/>
          <w:szCs w:val="22"/>
          <w:lang w:val="sk-SK"/>
        </w:rPr>
        <w:t>Členovia kontrolnej komisie sú povinní vykonávať svoju funkciu s odbornou starostlivosťou a v súlade so záujmami družstva a všetkých jej členov. Najmä sú povinní zaobstarať si a pri rozhodovaní zohľadniť všetky dostupné informácie týkajúce sa predmetu rozhodnutia, zachovávať mlčanlivosť o dôverných informáciách a skutočnostiach, ktorých prezradenie tretím osobám by mohlo družstvu spôsobiť škodu alebo ohroziť jeho záujmy alebo záujmy jeho členov, pri výkone svojej pôsobnosti nesmú uprednostňovať svoje záujmy, záujmy len niektorých členov alebo záujmy tretích osôb pred záujmom družstva.</w:t>
      </w:r>
    </w:p>
    <w:p w:rsidR="006553E2" w:rsidRPr="00EA5511" w:rsidRDefault="006553E2" w:rsidP="006553E2">
      <w:pPr>
        <w:pStyle w:val="tandard"/>
        <w:suppressLineNumbers/>
        <w:ind w:left="426"/>
        <w:jc w:val="both"/>
        <w:rPr>
          <w:sz w:val="22"/>
          <w:szCs w:val="22"/>
          <w:lang w:val="sk-SK"/>
        </w:rPr>
      </w:pPr>
    </w:p>
    <w:p w:rsidR="006553E2" w:rsidRDefault="006553E2" w:rsidP="006553E2">
      <w:pPr>
        <w:pStyle w:val="tandard"/>
        <w:numPr>
          <w:ilvl w:val="0"/>
          <w:numId w:val="2"/>
        </w:numPr>
        <w:suppressLineNumbers/>
        <w:ind w:left="426" w:hanging="426"/>
        <w:jc w:val="both"/>
        <w:rPr>
          <w:sz w:val="22"/>
          <w:szCs w:val="22"/>
          <w:lang w:val="sk-SK"/>
        </w:rPr>
      </w:pPr>
      <w:r w:rsidRPr="00EA5511">
        <w:rPr>
          <w:sz w:val="22"/>
          <w:szCs w:val="22"/>
          <w:lang w:val="sk-SK"/>
        </w:rPr>
        <w:t>Členovia kontrolnej komisie, ktorí porušili svoje povinnosti pri výkone svojej funkcie, sú zodpovední spoločne a nerozdielne za škodu, ktorú tým družstvu spôsobili. Člen kontrolnej komisie nezodpovedá za škodu, ak preukáže, že pri výkone svojej funkcie postupoval s odbornou starostlivosťou a v dobrej viere, že koná v záujme družstva a všetkých jeho členov. Členovia kontrolnej komisie nezodpovedajú za škodu spôsobenú družstvu konaním, ktorým vykonávali uznesenie zhromaždenia delegátov. To neplatí, ak je uznesenie zhromaždenia delegátov v rozpore s právnymi predpismi alebo so stanovami družstva. Členov kontrolnej komisie nezbavuje zodpovednosť, ak ich konanie zhromaždenie delegátov schválilo.</w:t>
      </w:r>
    </w:p>
    <w:p w:rsidR="006553E2" w:rsidRPr="00EA5511" w:rsidRDefault="006553E2" w:rsidP="006553E2">
      <w:pPr>
        <w:pStyle w:val="tandard"/>
        <w:suppressLineNumbers/>
        <w:ind w:left="426"/>
        <w:jc w:val="both"/>
        <w:rPr>
          <w:sz w:val="22"/>
          <w:szCs w:val="22"/>
          <w:lang w:val="sk-SK"/>
        </w:rPr>
      </w:pPr>
    </w:p>
    <w:p w:rsidR="006553E2" w:rsidRPr="009B071E" w:rsidRDefault="006553E2" w:rsidP="006553E2">
      <w:pPr>
        <w:pStyle w:val="tandard"/>
        <w:numPr>
          <w:ilvl w:val="0"/>
          <w:numId w:val="2"/>
        </w:numPr>
        <w:suppressLineNumbers/>
        <w:ind w:left="426" w:hanging="426"/>
        <w:jc w:val="both"/>
        <w:rPr>
          <w:sz w:val="22"/>
          <w:szCs w:val="22"/>
          <w:lang w:val="sk-SK"/>
        </w:rPr>
      </w:pPr>
      <w:r w:rsidRPr="00494762">
        <w:rPr>
          <w:sz w:val="22"/>
          <w:szCs w:val="22"/>
          <w:lang w:val="sk-SK"/>
        </w:rPr>
        <w:t>Dohody medzi družstvom a členom kontrolnej komisie obmedzujúce alebo vylučujúce  zodpovednosť člena kontrolnej komisie sú zakázané. Stanovy družstva nemôžu obmedziť alebo vylúčiť zodpovednosť člena kontrolnej komisie. Družstvo sa môže vzdať nárokov na náhradu škody voči členom kontrolnej komisie alebo uzatvoriť s nimi dohodu o urovnaní najskôr po 3 (troch) rokoch od ich vzniku, a to len ak s tým vysloví súhlas zhromaždenie delegátov.</w:t>
      </w:r>
    </w:p>
    <w:p w:rsidR="00EB4542" w:rsidRDefault="00EB4542"/>
    <w:sectPr w:rsidR="00EB4542" w:rsidSect="006553E2">
      <w:headerReference w:type="even" r:id="rId7"/>
      <w:headerReference w:type="first" r:id="rId8"/>
      <w:pgSz w:w="11906" w:h="16838" w:code="9"/>
      <w:pgMar w:top="720" w:right="720" w:bottom="720" w:left="720" w:header="567" w:footer="335"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2C3" w:rsidRDefault="00B062C3" w:rsidP="006553E2">
      <w:r>
        <w:separator/>
      </w:r>
    </w:p>
  </w:endnote>
  <w:endnote w:type="continuationSeparator" w:id="0">
    <w:p w:rsidR="00B062C3" w:rsidRDefault="00B062C3" w:rsidP="0065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2C3" w:rsidRDefault="00B062C3" w:rsidP="006553E2">
      <w:r>
        <w:separator/>
      </w:r>
    </w:p>
  </w:footnote>
  <w:footnote w:type="continuationSeparator" w:id="0">
    <w:p w:rsidR="00B062C3" w:rsidRDefault="00B062C3" w:rsidP="00655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5EC" w:rsidRDefault="00B062C3" w:rsidP="009D6CA0">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BF35EC" w:rsidRDefault="00B062C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3E2" w:rsidRDefault="006553E2">
    <w:pPr>
      <w:pStyle w:val="Hlavika"/>
    </w:pPr>
    <w:r>
      <w:t>Príloha č. 3</w:t>
    </w:r>
  </w:p>
  <w:p w:rsidR="006553E2" w:rsidRDefault="006553E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A90771"/>
    <w:multiLevelType w:val="hybridMultilevel"/>
    <w:tmpl w:val="766A25A2"/>
    <w:lvl w:ilvl="0" w:tplc="76EA72E0">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B5A1E05"/>
    <w:multiLevelType w:val="hybridMultilevel"/>
    <w:tmpl w:val="BB42457C"/>
    <w:lvl w:ilvl="0" w:tplc="566AAB4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3E2"/>
    <w:rsid w:val="006553E2"/>
    <w:rsid w:val="00B062C3"/>
    <w:rsid w:val="00EB45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7941FF-150D-4B81-8C83-2E912AF1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53E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6553E2"/>
    <w:pPr>
      <w:tabs>
        <w:tab w:val="center" w:pos="4536"/>
        <w:tab w:val="right" w:pos="9072"/>
      </w:tabs>
    </w:pPr>
  </w:style>
  <w:style w:type="character" w:customStyle="1" w:styleId="HlavikaChar">
    <w:name w:val="Hlavička Char"/>
    <w:basedOn w:val="Predvolenpsmoodseku"/>
    <w:link w:val="Hlavika"/>
    <w:rsid w:val="006553E2"/>
    <w:rPr>
      <w:rFonts w:ascii="Times New Roman" w:eastAsia="Times New Roman" w:hAnsi="Times New Roman" w:cs="Times New Roman"/>
      <w:sz w:val="24"/>
      <w:szCs w:val="24"/>
      <w:lang w:eastAsia="sk-SK"/>
    </w:rPr>
  </w:style>
  <w:style w:type="paragraph" w:styleId="Pta">
    <w:name w:val="footer"/>
    <w:basedOn w:val="Normlny"/>
    <w:link w:val="PtaChar"/>
    <w:rsid w:val="006553E2"/>
    <w:pPr>
      <w:tabs>
        <w:tab w:val="center" w:pos="4536"/>
        <w:tab w:val="right" w:pos="9072"/>
      </w:tabs>
    </w:pPr>
  </w:style>
  <w:style w:type="character" w:customStyle="1" w:styleId="PtaChar">
    <w:name w:val="Päta Char"/>
    <w:basedOn w:val="Predvolenpsmoodseku"/>
    <w:link w:val="Pta"/>
    <w:rsid w:val="006553E2"/>
    <w:rPr>
      <w:rFonts w:ascii="Times New Roman" w:eastAsia="Times New Roman" w:hAnsi="Times New Roman" w:cs="Times New Roman"/>
      <w:sz w:val="24"/>
      <w:szCs w:val="24"/>
      <w:lang w:eastAsia="sk-SK"/>
    </w:rPr>
  </w:style>
  <w:style w:type="character" w:styleId="slostrany">
    <w:name w:val="page number"/>
    <w:basedOn w:val="Predvolenpsmoodseku"/>
    <w:rsid w:val="006553E2"/>
  </w:style>
  <w:style w:type="paragraph" w:styleId="Odsekzoznamu">
    <w:name w:val="List Paragraph"/>
    <w:basedOn w:val="Normlny"/>
    <w:uiPriority w:val="34"/>
    <w:qFormat/>
    <w:rsid w:val="006553E2"/>
    <w:pPr>
      <w:ind w:left="708"/>
    </w:pPr>
  </w:style>
  <w:style w:type="paragraph" w:customStyle="1" w:styleId="tandard">
    <w:name w:val="Štandard"/>
    <w:rsid w:val="006553E2"/>
    <w:pPr>
      <w:widowControl w:val="0"/>
      <w:spacing w:after="0" w:line="240" w:lineRule="auto"/>
    </w:pPr>
    <w:rPr>
      <w:rFonts w:ascii="Times New Roman" w:eastAsia="Times New Roman" w:hAnsi="Times New Roman" w:cs="Times New Roman"/>
      <w:sz w:val="24"/>
      <w:szCs w:val="20"/>
      <w:lang w:val="cs-CZ"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649</Words>
  <Characters>3704</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Novodomcová</dc:creator>
  <cp:keywords/>
  <dc:description/>
  <cp:lastModifiedBy>Dagmar Novodomcová</cp:lastModifiedBy>
  <cp:revision>1</cp:revision>
  <dcterms:created xsi:type="dcterms:W3CDTF">2026-02-16T12:34:00Z</dcterms:created>
  <dcterms:modified xsi:type="dcterms:W3CDTF">2026-02-16T12:37:00Z</dcterms:modified>
</cp:coreProperties>
</file>